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717" w:beforeLines="550"/>
        <w:jc w:val="center"/>
        <w:textAlignment w:val="auto"/>
        <w:rPr>
          <w:rFonts w:hint="eastAsia" w:ascii="方正小标宋简体" w:hAnsi="方正小标宋简体" w:eastAsia="方正小标宋简体" w:cs="方正小标宋简体"/>
          <w:color w:val="FF0000"/>
          <w:spacing w:val="79"/>
          <w:w w:val="72"/>
          <w:sz w:val="100"/>
          <w:szCs w:val="100"/>
          <w:lang w:val="en-US" w:eastAsia="zh-CN"/>
        </w:rPr>
      </w:pPr>
      <w:r>
        <w:rPr>
          <w:rFonts w:hint="eastAsia" w:ascii="方正小标宋简体" w:hAnsi="方正小标宋简体" w:eastAsia="方正小标宋简体" w:cs="方正小标宋简体"/>
          <w:b/>
          <w:bCs/>
          <w:color w:val="FF0000"/>
          <w:spacing w:val="79"/>
          <w:w w:val="72"/>
          <w:sz w:val="110"/>
          <w:szCs w:val="110"/>
          <w:lang w:val="en-US" w:eastAsia="zh-CN"/>
        </w:rPr>
        <w:t>合</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肥</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城</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市</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学</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院</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文</w:t>
      </w:r>
      <w:r>
        <w:rPr>
          <w:rFonts w:hint="eastAsia" w:ascii="方正小标宋简体" w:hAnsi="方正小标宋简体" w:eastAsia="方正小标宋简体" w:cs="方正小标宋简体"/>
          <w:b/>
          <w:bCs/>
          <w:color w:val="FF0000"/>
          <w:spacing w:val="-147"/>
          <w:w w:val="72"/>
          <w:sz w:val="110"/>
          <w:szCs w:val="110"/>
          <w:lang w:val="en-US" w:eastAsia="zh-CN"/>
        </w:rPr>
        <w:t xml:space="preserve"> </w:t>
      </w:r>
      <w:r>
        <w:rPr>
          <w:rFonts w:hint="eastAsia" w:ascii="方正小标宋简体" w:hAnsi="方正小标宋简体" w:eastAsia="方正小标宋简体" w:cs="方正小标宋简体"/>
          <w:b/>
          <w:bCs/>
          <w:color w:val="FF0000"/>
          <w:spacing w:val="79"/>
          <w:w w:val="72"/>
          <w:sz w:val="110"/>
          <w:szCs w:val="110"/>
          <w:lang w:val="en-US" w:eastAsia="zh-CN"/>
        </w:rPr>
        <w:t>件</w:t>
      </w:r>
    </w:p>
    <w:p>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校字〔2022〕126号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简体" w:hAnsi="方正小标宋简体" w:eastAsia="方正小标宋简体" w:cs="方正小标宋简体"/>
          <w:b w:val="0"/>
          <w:bCs w:val="0"/>
          <w:color w:val="auto"/>
          <w:spacing w:val="0"/>
          <w:sz w:val="44"/>
          <w:szCs w:val="44"/>
          <w:lang w:val="en-US" w:eastAsia="zh-CN"/>
        </w:rPr>
      </w:pPr>
      <w:r>
        <w:rPr>
          <w:rFonts w:hint="eastAsia" w:ascii="仿宋_GB2312" w:hAnsi="仿宋_GB2312" w:eastAsia="仿宋_GB2312" w:cs="仿宋_GB2312"/>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-20955</wp:posOffset>
                </wp:positionH>
                <wp:positionV relativeFrom="paragraph">
                  <wp:posOffset>119380</wp:posOffset>
                </wp:positionV>
                <wp:extent cx="5647690" cy="5080"/>
                <wp:effectExtent l="0" t="19050" r="10160" b="33020"/>
                <wp:wrapNone/>
                <wp:docPr id="2" name="直接连接符 1"/>
                <wp:cNvGraphicFramePr/>
                <a:graphic xmlns:a="http://schemas.openxmlformats.org/drawingml/2006/main">
                  <a:graphicData uri="http://schemas.microsoft.com/office/word/2010/wordprocessingShape">
                    <wps:wsp>
                      <wps:cNvCnPr/>
                      <wps:spPr>
                        <a:xfrm>
                          <a:off x="0" y="0"/>
                          <a:ext cx="5647690" cy="5080"/>
                        </a:xfrm>
                        <a:prstGeom prst="line">
                          <a:avLst/>
                        </a:prstGeom>
                        <a:ln w="38100" cap="flat" cmpd="sng">
                          <a:solidFill>
                            <a:srgbClr val="FF0000"/>
                          </a:solidFill>
                          <a:prstDash val="solid"/>
                          <a:miter/>
                          <a:headEnd type="none" w="med" len="med"/>
                          <a:tailEnd type="none" w="med" len="med"/>
                        </a:ln>
                      </wps:spPr>
                      <wps:bodyPr/>
                    </wps:wsp>
                  </a:graphicData>
                </a:graphic>
              </wp:anchor>
            </w:drawing>
          </mc:Choice>
          <mc:Fallback>
            <w:pict>
              <v:line id="直接连接符 1" o:spid="_x0000_s1026" o:spt="20" style="position:absolute;left:0pt;margin-left:-1.65pt;margin-top:9.4pt;height:0.4pt;width:444.7pt;z-index:251660288;mso-width-relative:page;mso-height-relative:page;" filled="f" stroked="t" coordsize="21600,21600" o:gfxdata="UEsDBAoAAAAAAIdO4kAAAAAAAAAAAAAAAAAEAAAAZHJzL1BLAwQUAAAACACHTuJAsANr2tUAAAAI&#10;AQAADwAAAGRycy9kb3ducmV2LnhtbE2PzU7DMBCE70i8g7VI3Fo7VERuiNMDUiXgVFoOcHPjbRw1&#10;Xkex+8Pbs5zguDOj2W/q1TUM4oxT6iMZKOYKBFIbXU+dgY/deqZBpGzJ2SESGvjGBKvm9qa2lYsX&#10;esfzNneCSyhV1oDPeaykTK3HYNM8jkjsHeIUbOZz6qSb7IXLwyAflCplsD3xB29HfPbYHrenYOBT&#10;7b5os9SeWnx5fA1va0WbwZj7u0I9gch4zX9h+MVndGiYaR9P5JIYDMwWC06yrnkB+1qXBYg9C8sS&#10;ZFPL/wOaH1BLAwQUAAAACACHTuJAEZGG1vgBAADmAwAADgAAAGRycy9lMm9Eb2MueG1srVPNjtMw&#10;EL4j8Q6W7zRpYUuJmu5hS7kgqAT7AFPHaSz5Tx5v074EL4DEDU4cue/bsDzGjp3SheXSAzk44/HM&#10;N/N9Hs8v90aznQyonK35eFRyJq1wjbLbml9/XD2bcYYRbAPaWVnzg0R+uXj6ZN77Sk5c53QjAyMQ&#10;i1Xva97F6KuiQNFJAzhyXlo6bF0wEGkbtkUToCd0o4tJWU6L3oXGByckInmXwyE/IoZzAF3bKiGX&#10;TtwYaeOAGqSGSJSwUx75InfbtlLE922LMjJdc2Ia80pFyN6ktVjModoG8J0SxxbgnBYecTKgLBU9&#10;QS0hArsJ6h8oo0Rw6No4Es4UA5GsCLEYl4+0+dCBl5kLSY3+JDr+P1jxbrcOTDU1n3BmwdCF333+&#10;8fPT11+3X2i9+/6NjZNIvceKYq/sOhx36NchMd63waQ/cWH7LOzhJKzcRybIeTF98XL6ijQXdHZR&#10;zrLuxUOuDxjfSGdYMmqulU20oYLdW4xUj0J/hyS3tqyv+fPZuEyQQEPY0uWTaTwRQbvNyei0alZK&#10;65SCYbu50oHtgAZhtSrpS7QI+K+wVGUJ2A1x+WgYEaOiTMyh6iQ0r23D4sGTWJbeCE/dGNlwpiU9&#10;qWTlyAhKnxNJTWhLvSSNB1WTtXHNIYud/XT9udvjqKb5+nOfsx+e5+I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ANr2tUAAAAIAQAADwAAAAAAAAABACAAAAAiAAAAZHJzL2Rvd25yZXYueG1sUEsB&#10;AhQAFAAAAAgAh07iQBGRhtb4AQAA5gMAAA4AAAAAAAAAAQAgAAAAJAEAAGRycy9lMm9Eb2MueG1s&#10;UEsFBgAAAAAGAAYAWQEAAI4FAAAAAA==&#10;">
                <v:fill on="f" focussize="0,0"/>
                <v:stroke weight="3pt" color="#FF0000"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简体" w:hAnsi="方正小标宋简体" w:eastAsia="方正小标宋简体" w:cs="方正小标宋简体"/>
          <w:b w:val="0"/>
          <w:bCs w:val="0"/>
          <w:color w:val="auto"/>
          <w:spacing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简体" w:hAnsi="方正小标宋简体" w:eastAsia="方正小标宋简体" w:cs="方正小标宋简体"/>
          <w:b w:val="0"/>
          <w:bCs w:val="0"/>
          <w:color w:val="auto"/>
          <w:spacing w:val="0"/>
          <w:sz w:val="44"/>
          <w:szCs w:val="44"/>
          <w:lang w:val="en-US" w:eastAsia="zh-CN"/>
        </w:rPr>
      </w:pPr>
      <w:r>
        <w:rPr>
          <w:rFonts w:hint="eastAsia" w:ascii="仿宋_GB2312" w:hAnsi="仿宋_GB2312" w:eastAsia="仿宋_GB2312" w:cs="仿宋_GB2312"/>
          <w:color w:val="auto"/>
          <w:sz w:val="32"/>
          <w:szCs w:val="32"/>
        </w:rPr>
        <mc:AlternateContent>
          <mc:Choice Requires="wps">
            <w:drawing>
              <wp:anchor distT="0" distB="0" distL="114300" distR="114300" simplePos="0" relativeHeight="251661312" behindDoc="0" locked="0" layoutInCell="1" allowOverlap="1">
                <wp:simplePos x="0" y="0"/>
                <wp:positionH relativeFrom="column">
                  <wp:posOffset>-13970</wp:posOffset>
                </wp:positionH>
                <wp:positionV relativeFrom="paragraph">
                  <wp:posOffset>119380</wp:posOffset>
                </wp:positionV>
                <wp:extent cx="5647690" cy="5080"/>
                <wp:effectExtent l="0" t="19050" r="10160" b="33020"/>
                <wp:wrapNone/>
                <wp:docPr id="1" name="直接连接符 1"/>
                <wp:cNvGraphicFramePr/>
                <a:graphic xmlns:a="http://schemas.openxmlformats.org/drawingml/2006/main">
                  <a:graphicData uri="http://schemas.microsoft.com/office/word/2010/wordprocessingShape">
                    <wps:wsp>
                      <wps:cNvCnPr/>
                      <wps:spPr>
                        <a:xfrm>
                          <a:off x="0" y="0"/>
                          <a:ext cx="5647690" cy="5080"/>
                        </a:xfrm>
                        <a:prstGeom prst="line">
                          <a:avLst/>
                        </a:prstGeom>
                        <a:ln w="38100" cap="flat" cmpd="sng">
                          <a:solidFill>
                            <a:srgbClr val="FFFFFF"/>
                          </a:solidFill>
                          <a:prstDash val="solid"/>
                          <a:miter/>
                          <a:headEnd type="none" w="med" len="med"/>
                          <a:tailEnd type="none" w="med" len="med"/>
                        </a:ln>
                      </wps:spPr>
                      <wps:bodyPr/>
                    </wps:wsp>
                  </a:graphicData>
                </a:graphic>
              </wp:anchor>
            </w:drawing>
          </mc:Choice>
          <mc:Fallback>
            <w:pict>
              <v:line id="_x0000_s1026" o:spid="_x0000_s1026" o:spt="20" style="position:absolute;left:0pt;margin-left:-1.1pt;margin-top:9.4pt;height:0.4pt;width:444.7pt;z-index:251661312;mso-width-relative:page;mso-height-relative:page;" filled="f" stroked="t" coordsize="21600,21600" o:gfxdata="UEsDBAoAAAAAAIdO4kAAAAAAAAAAAAAAAAAEAAAAZHJzL1BLAwQUAAAACACHTuJAiuqwJ9cAAAAI&#10;AQAADwAAAGRycy9kb3ducmV2LnhtbE2PwU7DMBBE70j8g7VI3FqnRrQmxOmBiAsHoAVVPbrxkgTi&#10;dRQ7bfl7lhMcd2Y0+6ZYn30vjjjGLpCBxTwDgVQH11Fj4P3tcaZBxGTJ2T4QGvjGCOvy8qKwuQsn&#10;2uBxmxrBJRRza6BNaciljHWL3sZ5GJDY+wijt4nPsZFutCcu971UWbaU3nbEH1o74EOL9dd28gbU&#10;rto/N/rW79T+5XM1vVZP9U1lzPXVIrsHkfCc/sLwi8/oUDLTIUzkougNzJTiJOuaF7Cv9YqFAwt3&#10;S5BlIf8PKH8AUEsDBBQAAAAIAIdO4kCav37U9gEAAOYDAAAOAAAAZHJzL2Uyb0RvYy54bWytU82O&#10;0zAQviPxDpbvNOnClhI13cOWckFQCXiAqeMklvwnj7dpX4IXQOIGJ47c921YHoOxU7qwXHogB2c8&#10;nvlmvs/jxdXeaLaTAZWzNZ9OSs6kFa5Rtqv5h/frJ3POMIJtQDsra36QyK+Wjx8tBl/JC9c73cjA&#10;CMRiNfia9zH6qihQ9NIATpyXlg5bFwxE2oauaAIMhG50cVGWs2JwofHBCYlI3tV4yI+I4RxA17ZK&#10;yJUTN0baOKIGqSESJeyVR77M3batFPFt26KMTNecmMa8UhGyt2ktlguougC+V+LYApzTwgNOBpSl&#10;oieoFURgN0H9A2WUCA5dGyfCmWIkkhUhFtPygTbvevAycyGp0Z9Ex/8HK97sNoGphiaBMwuGLvzu&#10;0/cfH7/8vP1M6923r2yaRBo8VhR7bTfhuEO/CYnxvg0m/YkL22dhDydh5T4yQc7L2bPnsxekuaCz&#10;y3KedS/uc33A+Eo6w5JRc61sog0V7F5jpHoU+jskubVlQ82fzqdlggQawpYun0zjiQjaLiej06pZ&#10;K61TCoZue60D2wENwjp/iRYB/xWWqqwA+zEuH40jYlSUiTlUvYTmpW1YPHgSy9Ib4akbIxvOtKQn&#10;lawcGUHpcyKpCW2pl6TxqGqytq45ZLGzn64/d3sc1TRff+5z9v3zXP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uqwJ9cAAAAIAQAADwAAAAAAAAABACAAAAAiAAAAZHJzL2Rvd25yZXYueG1sUEsB&#10;AhQAFAAAAAgAh07iQJq/ftT2AQAA5gMAAA4AAAAAAAAAAQAgAAAAJgEAAGRycy9lMm9Eb2MueG1s&#10;UEsFBgAAAAAGAAYAWQEAAI4FAAAAAA==&#10;">
                <v:fill on="f" focussize="0,0"/>
                <v:stroke weight="3pt" color="#FFFFFF"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简体" w:hAnsi="方正小标宋简体" w:eastAsia="方正小标宋简体" w:cs="方正小标宋简体"/>
          <w:b w:val="0"/>
          <w:bCs w:val="0"/>
          <w:color w:val="auto"/>
          <w:spacing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sz w:val="44"/>
          <w:szCs w:val="44"/>
          <w:highlight w:val="none"/>
          <w:lang w:val="en-US" w:eastAsia="zh-CN"/>
        </w:rPr>
      </w:pPr>
      <w:r>
        <w:rPr>
          <w:rFonts w:hint="eastAsia" w:ascii="方正小标宋简体" w:hAnsi="方正小标宋简体" w:eastAsia="方正小标宋简体" w:cs="方正小标宋简体"/>
          <w:b/>
          <w:bCs/>
          <w:sz w:val="44"/>
          <w:szCs w:val="44"/>
          <w:highlight w:val="none"/>
          <w:lang w:val="en-US" w:eastAsia="zh-CN"/>
        </w:rPr>
        <w:t>关于印发《合肥城市学院本科专业建设管理</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大标宋简体" w:hAnsi="方正大标宋简体" w:eastAsia="方正大标宋简体" w:cs="方正大标宋简体"/>
          <w:b/>
          <w:bCs/>
          <w:sz w:val="44"/>
          <w:szCs w:val="44"/>
          <w:highlight w:val="none"/>
          <w:lang w:val="en-US" w:eastAsia="zh-CN"/>
        </w:rPr>
      </w:pPr>
      <w:r>
        <w:rPr>
          <w:rFonts w:hint="eastAsia" w:ascii="方正小标宋简体" w:hAnsi="方正小标宋简体" w:eastAsia="方正小标宋简体" w:cs="方正小标宋简体"/>
          <w:b/>
          <w:bCs/>
          <w:sz w:val="44"/>
          <w:szCs w:val="44"/>
          <w:highlight w:val="none"/>
          <w:lang w:val="en-US" w:eastAsia="zh-CN"/>
        </w:rPr>
        <w:t>办法》的通知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校属各单位：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《合肥城市学院本科专业建设管理办法》业经校长办公会议审议通过，现予以印发，请遵照执行。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附件：合肥城市学院本科专业建设管理办法</w:t>
      </w:r>
    </w:p>
    <w:p>
      <w:pPr>
        <w:pStyle w:val="2"/>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bookmarkStart w:id="0" w:name="_GoBack"/>
      <w:bookmarkEnd w:id="0"/>
    </w:p>
    <w:p>
      <w:pPr>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合肥城市学院</w:t>
      </w:r>
    </w:p>
    <w:p>
      <w:pPr>
        <w:keepNext w:val="0"/>
        <w:keepLines w:val="0"/>
        <w:pageBreakBefore w:val="0"/>
        <w:widowControl w:val="0"/>
        <w:kinsoku/>
        <w:wordWrap/>
        <w:overflowPunct/>
        <w:topLinePunct w:val="0"/>
        <w:autoSpaceDE/>
        <w:autoSpaceDN/>
        <w:bidi w:val="0"/>
        <w:adjustRightInd/>
        <w:snapToGrid/>
        <w:spacing w:line="560" w:lineRule="exact"/>
        <w:ind w:firstLine="645"/>
        <w:jc w:val="right"/>
        <w:textAlignment w:val="auto"/>
        <w:rPr>
          <w:rFonts w:hint="eastAsia" w:ascii="黑体" w:hAnsi="黑体" w:eastAsia="黑体" w:cs="黑体"/>
          <w:b w:val="0"/>
          <w:bCs w:val="0"/>
          <w:sz w:val="32"/>
          <w:szCs w:val="32"/>
          <w:lang w:val="en-US" w:eastAsia="zh-CN"/>
        </w:rPr>
      </w:pPr>
      <w:r>
        <w:rPr>
          <w:rFonts w:hint="eastAsia" w:ascii="仿宋" w:hAnsi="仿宋" w:eastAsia="仿宋" w:cs="仿宋"/>
          <w:sz w:val="32"/>
          <w:szCs w:val="32"/>
          <w:lang w:val="en-US" w:eastAsia="zh-CN"/>
        </w:rPr>
        <w:t xml:space="preserve">                               2022年11月5日</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lang w:val="en-US" w:eastAsia="zh-CN"/>
        </w:rPr>
      </w:pPr>
      <w:r>
        <w:rPr>
          <w:rFonts w:hint="eastAsia" w:ascii="黑体" w:hAnsi="黑体" w:eastAsia="黑体" w:cs="黑体"/>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简体" w:hAnsi="方正小标宋简体" w:eastAsia="方正小标宋简体" w:cs="方正小标宋简体"/>
          <w:b/>
          <w:color w:val="000000"/>
          <w:sz w:val="44"/>
          <w:szCs w:val="44"/>
        </w:rPr>
      </w:pPr>
      <w:r>
        <w:rPr>
          <w:rFonts w:hint="eastAsia" w:ascii="方正小标宋简体" w:hAnsi="方正小标宋简体" w:eastAsia="方正小标宋简体" w:cs="方正小标宋简体"/>
          <w:b/>
          <w:color w:val="000000"/>
          <w:sz w:val="44"/>
          <w:szCs w:val="44"/>
        </w:rPr>
        <w:t>合肥城市学院本科专业建设管理办法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专业是高校人才培养的载体，是推进教学改革、提高教育教学质量的立足点。其建设水平和绩效决定着高校的人才培养质量和特色。为进一步加</w:t>
      </w:r>
      <w:r>
        <w:rPr>
          <w:rFonts w:hint="eastAsia" w:ascii="仿宋" w:hAnsi="仿宋" w:eastAsia="仿宋"/>
          <w:strike w:val="0"/>
          <w:dstrike w:val="0"/>
          <w:color w:val="000000"/>
          <w:sz w:val="32"/>
          <w:szCs w:val="32"/>
          <w:highlight w:val="none"/>
        </w:rPr>
        <w:t>强本科专业建设</w:t>
      </w:r>
      <w:r>
        <w:rPr>
          <w:rFonts w:hint="eastAsia" w:ascii="仿宋" w:hAnsi="仿宋" w:eastAsia="仿宋"/>
          <w:color w:val="000000"/>
          <w:sz w:val="32"/>
          <w:szCs w:val="32"/>
          <w:highlight w:val="none"/>
        </w:rPr>
        <w:t>，规范对</w:t>
      </w:r>
      <w:r>
        <w:rPr>
          <w:rFonts w:hint="eastAsia" w:ascii="仿宋" w:hAnsi="仿宋" w:eastAsia="仿宋"/>
          <w:strike w:val="0"/>
          <w:dstrike w:val="0"/>
          <w:color w:val="000000"/>
          <w:sz w:val="32"/>
          <w:szCs w:val="32"/>
          <w:highlight w:val="none"/>
        </w:rPr>
        <w:t>本科</w:t>
      </w:r>
      <w:r>
        <w:rPr>
          <w:rFonts w:hint="eastAsia" w:ascii="仿宋" w:hAnsi="仿宋" w:eastAsia="仿宋"/>
          <w:strike w:val="0"/>
          <w:color w:val="000000"/>
          <w:sz w:val="32"/>
          <w:szCs w:val="32"/>
          <w:highlight w:val="none"/>
        </w:rPr>
        <w:t>专业</w:t>
      </w:r>
      <w:r>
        <w:rPr>
          <w:rFonts w:hint="eastAsia" w:ascii="仿宋" w:hAnsi="仿宋" w:eastAsia="仿宋"/>
          <w:color w:val="000000"/>
          <w:sz w:val="32"/>
          <w:szCs w:val="32"/>
          <w:highlight w:val="none"/>
        </w:rPr>
        <w:t>的宏观管理，促进学校</w:t>
      </w:r>
      <w:r>
        <w:rPr>
          <w:rFonts w:hint="eastAsia" w:ascii="仿宋" w:hAnsi="仿宋" w:eastAsia="仿宋"/>
          <w:strike w:val="0"/>
          <w:dstrike w:val="0"/>
          <w:color w:val="000000"/>
          <w:sz w:val="32"/>
          <w:szCs w:val="32"/>
          <w:highlight w:val="none"/>
        </w:rPr>
        <w:t>本科</w:t>
      </w:r>
      <w:r>
        <w:rPr>
          <w:rFonts w:hint="eastAsia" w:ascii="仿宋" w:hAnsi="仿宋" w:eastAsia="仿宋"/>
          <w:strike w:val="0"/>
          <w:color w:val="000000"/>
          <w:sz w:val="32"/>
          <w:szCs w:val="32"/>
          <w:highlight w:val="none"/>
        </w:rPr>
        <w:t>专业</w:t>
      </w:r>
      <w:r>
        <w:rPr>
          <w:rFonts w:hint="eastAsia" w:ascii="仿宋" w:hAnsi="仿宋" w:eastAsia="仿宋"/>
          <w:color w:val="000000"/>
          <w:sz w:val="32"/>
          <w:szCs w:val="32"/>
          <w:highlight w:val="none"/>
        </w:rPr>
        <w:t>规模、质量、结构、效益的协调发展，</w:t>
      </w:r>
      <w:r>
        <w:rPr>
          <w:rFonts w:hint="eastAsia" w:ascii="仿宋" w:hAnsi="仿宋" w:eastAsia="仿宋"/>
          <w:strike w:val="0"/>
          <w:dstrike w:val="0"/>
          <w:color w:val="000000"/>
          <w:sz w:val="32"/>
          <w:szCs w:val="32"/>
          <w:highlight w:val="none"/>
          <w:lang w:val="en-US" w:eastAsia="zh-CN"/>
        </w:rPr>
        <w:t>结合</w:t>
      </w:r>
      <w:r>
        <w:rPr>
          <w:rFonts w:hint="eastAsia" w:ascii="仿宋" w:hAnsi="仿宋" w:eastAsia="仿宋"/>
          <w:color w:val="000000"/>
          <w:sz w:val="32"/>
          <w:szCs w:val="32"/>
          <w:highlight w:val="none"/>
          <w:lang w:val="en-US" w:eastAsia="zh-CN"/>
        </w:rPr>
        <w:t>我校</w:t>
      </w:r>
      <w:r>
        <w:rPr>
          <w:rFonts w:hint="eastAsia" w:ascii="仿宋" w:hAnsi="仿宋" w:eastAsia="仿宋"/>
          <w:color w:val="000000"/>
          <w:sz w:val="32"/>
          <w:szCs w:val="32"/>
          <w:highlight w:val="none"/>
        </w:rPr>
        <w:t>实际，制定本办法。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highlight w:val="none"/>
        </w:rPr>
      </w:pPr>
      <w:r>
        <w:rPr>
          <w:rFonts w:hint="eastAsia" w:ascii="仿宋" w:hAnsi="仿宋" w:eastAsia="仿宋"/>
          <w:color w:val="000000"/>
          <w:sz w:val="32"/>
          <w:szCs w:val="32"/>
          <w:highlight w:val="none"/>
        </w:rPr>
        <w:t xml:space="preserve">   </w:t>
      </w:r>
      <w:r>
        <w:rPr>
          <w:rFonts w:hint="eastAsia" w:ascii="黑体" w:hAnsi="黑体" w:eastAsia="黑体" w:cs="黑体"/>
          <w:color w:val="000000"/>
          <w:sz w:val="32"/>
          <w:szCs w:val="32"/>
          <w:highlight w:val="none"/>
        </w:rPr>
        <w:t xml:space="preserve"> 一、专业建设指导思想和原则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000000"/>
          <w:sz w:val="32"/>
          <w:szCs w:val="32"/>
          <w:highlight w:val="none"/>
        </w:rPr>
      </w:pPr>
      <w:r>
        <w:rPr>
          <w:rFonts w:hint="eastAsia" w:ascii="仿宋" w:hAnsi="仿宋" w:eastAsia="仿宋"/>
          <w:color w:val="000000"/>
          <w:sz w:val="32"/>
          <w:szCs w:val="32"/>
          <w:highlight w:val="none"/>
        </w:rPr>
        <w:t xml:space="preserve">   </w:t>
      </w:r>
      <w:r>
        <w:rPr>
          <w:rFonts w:hint="eastAsia" w:ascii="楷体" w:hAnsi="楷体" w:eastAsia="楷体" w:cs="楷体"/>
          <w:b/>
          <w:bCs/>
          <w:color w:val="000000"/>
          <w:sz w:val="32"/>
          <w:szCs w:val="32"/>
          <w:highlight w:val="none"/>
        </w:rPr>
        <w:t>（一）专业建设的指导思想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以习近平新时代中国特色社会主义思想和党的十九大精神为指导，主动适应国家、区域经济社会发展和行业人才需求，以学校发展战略规划、办学定位、人才培养目标为指导，以各学科专业协调发展、相互支撑、共同提高为目标，以学科建设为龙头，以提高人才培养质量为核心，以师资队伍建设为关键，以提升教学、研究水平为重点，坚持“稳定规模、优化结构、强化特色、提升内涵、保证质量”的基本方针，加强内涵建设，优化专业结构，提高专业建设水平，全面推进学校的专业建设和发展工作，构建特色鲜明的学科专业结构体系。全面贯彻党的教育方针；强化政治意识、责任意识、阵地意识和底线意识；以立德树人为根本任务；以深入推进中国特色社会主义理论体系进教材、进课堂、进头脑为主线；以提高教师队伍思想政治素质和育人能力为基础；以加强高校网络等阵地建设为重点；积极培育和践行社会主义核心价值观，不断坚定广大师生中国特色社会主义道路自信、理论自信、制度自信，培育德智体美劳全面发展的社会主义建设者和接班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000000"/>
          <w:sz w:val="32"/>
          <w:szCs w:val="32"/>
          <w:highlight w:val="none"/>
        </w:rPr>
      </w:pPr>
      <w:r>
        <w:rPr>
          <w:rFonts w:hint="eastAsia" w:ascii="仿宋" w:hAnsi="仿宋" w:eastAsia="仿宋"/>
          <w:color w:val="000000"/>
          <w:sz w:val="32"/>
          <w:szCs w:val="32"/>
          <w:highlight w:val="none"/>
        </w:rPr>
        <w:t xml:space="preserve">  </w:t>
      </w:r>
      <w:r>
        <w:rPr>
          <w:rFonts w:hint="eastAsia" w:ascii="楷体" w:hAnsi="楷体" w:eastAsia="楷体" w:cs="楷体"/>
          <w:b/>
          <w:bCs/>
          <w:color w:val="000000"/>
          <w:sz w:val="32"/>
          <w:szCs w:val="32"/>
          <w:highlight w:val="none"/>
        </w:rPr>
        <w:t xml:space="preserve"> （二）专业建设应遵循以下原则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1．需求导向，以人为本原则。</w:t>
      </w:r>
      <w:r>
        <w:rPr>
          <w:rFonts w:hint="eastAsia" w:ascii="仿宋" w:hAnsi="仿宋" w:eastAsia="仿宋"/>
          <w:color w:val="000000"/>
          <w:sz w:val="32"/>
          <w:szCs w:val="32"/>
          <w:highlight w:val="none"/>
        </w:rPr>
        <w:t>专业设置、建设、结构调整与发展均需遵循高等教育发展规律，坚持以国家、区域经济社会发展和行业需求为导向培养高素质专门人才。坚持以学生为中心，建立科学合理的人才培养体系，建立尊重学生的教学管理模式，突出师生互动、突出方法和思维训练，使学生全面而又个性地发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2．结构优化，特色发展原则。</w:t>
      </w:r>
      <w:r>
        <w:rPr>
          <w:rFonts w:hint="eastAsia" w:ascii="仿宋" w:hAnsi="仿宋" w:eastAsia="仿宋"/>
          <w:color w:val="000000"/>
          <w:sz w:val="32"/>
          <w:szCs w:val="32"/>
          <w:highlight w:val="none"/>
        </w:rPr>
        <w:t>主动适应经济社会发展对人才培养提出的新要求，进一步调整优化学科结构，构建面向创新创业的新型人才培养体系，做好存量调整，增量优化，积极设置国家和区域战略性、民生改善领域相关专业，优化专业空间布局，推进优势特色专业发展，培育、创建一流、高水平的</w:t>
      </w:r>
      <w:r>
        <w:rPr>
          <w:rFonts w:hint="eastAsia" w:ascii="仿宋" w:hAnsi="仿宋" w:eastAsia="仿宋"/>
          <w:strike w:val="0"/>
          <w:dstrike w:val="0"/>
          <w:color w:val="000000"/>
          <w:sz w:val="32"/>
          <w:szCs w:val="32"/>
          <w:highlight w:val="none"/>
          <w:u w:val="none"/>
        </w:rPr>
        <w:t>本科</w:t>
      </w:r>
      <w:r>
        <w:rPr>
          <w:rFonts w:hint="eastAsia" w:ascii="仿宋" w:hAnsi="仿宋" w:eastAsia="仿宋"/>
          <w:color w:val="000000"/>
          <w:sz w:val="32"/>
          <w:szCs w:val="32"/>
          <w:highlight w:val="none"/>
        </w:rPr>
        <w:t>专业，形成多学科结合、布局合理、适应性强的学科专业结构。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3．分类指导，重点扶持原则。</w:t>
      </w:r>
      <w:r>
        <w:rPr>
          <w:rFonts w:hint="eastAsia" w:ascii="仿宋" w:hAnsi="仿宋" w:eastAsia="仿宋"/>
          <w:color w:val="000000"/>
          <w:sz w:val="32"/>
          <w:szCs w:val="32"/>
          <w:highlight w:val="none"/>
        </w:rPr>
        <w:t>对传统专业进行改造升级优化，对新专业加强规范化建设，对基础条件较好、社会适应面广、有发展潜力、有特色的专业进行重点建设和扶持。以优势特色专业建设为核心，以新专业建设为重点，坚持专业建设与学科建设、课程建设、师资队伍建设、教学条件建设等相结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4．注重质量，持续发展原则。</w:t>
      </w:r>
      <w:r>
        <w:rPr>
          <w:rFonts w:hint="eastAsia" w:ascii="仿宋" w:hAnsi="仿宋" w:eastAsia="仿宋"/>
          <w:color w:val="000000"/>
          <w:sz w:val="32"/>
          <w:szCs w:val="32"/>
          <w:highlight w:val="none"/>
        </w:rPr>
        <w:t>以提高人才培养质量为核心，加强专业建设，建立多方评价教育教学质量的机制，构建以社会满意度为核心的质量评价监控体系，切实提高专业人才培养质量。要将专业建设作为长期任务，长抓不懈，要制定专业中长期建设发展规划，有步骤分阶段逐项落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highlight w:val="none"/>
        </w:rPr>
      </w:pPr>
      <w:r>
        <w:rPr>
          <w:rFonts w:hint="eastAsia" w:ascii="仿宋" w:hAnsi="仿宋" w:eastAsia="仿宋"/>
          <w:color w:val="000000"/>
          <w:sz w:val="32"/>
          <w:szCs w:val="32"/>
          <w:highlight w:val="none"/>
        </w:rPr>
        <w:t xml:space="preserve">   </w:t>
      </w:r>
      <w:r>
        <w:rPr>
          <w:rFonts w:hint="eastAsia" w:ascii="黑体" w:hAnsi="黑体" w:eastAsia="黑体" w:cs="黑体"/>
          <w:color w:val="000000"/>
          <w:sz w:val="32"/>
          <w:szCs w:val="32"/>
          <w:highlight w:val="none"/>
        </w:rPr>
        <w:t xml:space="preserve"> 二、本科专业设置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新专业设置条件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1.符合地方经济社会发展需求，符合行业技术进步对人才的需求；符合学校专业建设与发展总体规划，有符合专业培养目标的人才培养方案以及其他必需的教学文件。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2.有详实的人才需求调查与论证报告，如政府部门、教育行政部门等机构的相关数据和信息资料；企业、事业部门、行政机关等用人单位的人才需求信息资料；上一年度中学生报考志愿汇总资料或者应届中学生拟报志愿的有关信息资料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3.有一定的开设该专业的学科基础，新设专业与学校现有专业之间能形成相互支撑的关系。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4.有一定数量的、能满足开设该专业的师资队伍和教学管理人员。其中，专业负责人必须具有副教授以上专业技术职务。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 xml:space="preserve">    5.具备专业开设的基本硬件设施，如教室、实验室及教学仪器设备、图书资料、校内外实习基地等。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highlight w:val="none"/>
        </w:rPr>
      </w:pPr>
      <w:r>
        <w:rPr>
          <w:rFonts w:hint="eastAsia" w:ascii="仿宋" w:hAnsi="仿宋" w:eastAsia="仿宋"/>
          <w:color w:val="000000"/>
          <w:sz w:val="32"/>
          <w:szCs w:val="32"/>
          <w:highlight w:val="none"/>
        </w:rPr>
        <w:t xml:space="preserve">   </w:t>
      </w:r>
      <w:r>
        <w:rPr>
          <w:rFonts w:hint="eastAsia" w:ascii="黑体" w:hAnsi="黑体" w:eastAsia="黑体" w:cs="黑体"/>
          <w:color w:val="000000"/>
          <w:sz w:val="32"/>
          <w:szCs w:val="32"/>
          <w:highlight w:val="none"/>
        </w:rPr>
        <w:t xml:space="preserve"> 三、本科专业建设内容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1．教学团队建设。</w:t>
      </w:r>
      <w:r>
        <w:rPr>
          <w:rFonts w:hint="eastAsia" w:ascii="仿宋" w:hAnsi="仿宋" w:eastAsia="仿宋"/>
          <w:color w:val="000000"/>
          <w:sz w:val="32"/>
          <w:szCs w:val="32"/>
          <w:highlight w:val="none"/>
        </w:rPr>
        <w:t>高校专业建设的关键是师资。围绕专业核心课程群，以优秀教师为带头人，建设热爱</w:t>
      </w:r>
      <w:r>
        <w:rPr>
          <w:rFonts w:hint="eastAsia" w:ascii="仿宋" w:hAnsi="仿宋" w:eastAsia="仿宋"/>
          <w:strike w:val="0"/>
          <w:dstrike w:val="0"/>
          <w:color w:val="000000"/>
          <w:sz w:val="32"/>
          <w:szCs w:val="32"/>
          <w:highlight w:val="none"/>
        </w:rPr>
        <w:t>本科</w:t>
      </w:r>
      <w:r>
        <w:rPr>
          <w:rFonts w:hint="eastAsia" w:ascii="仿宋" w:hAnsi="仿宋" w:eastAsia="仿宋"/>
          <w:color w:val="000000"/>
          <w:sz w:val="32"/>
          <w:szCs w:val="32"/>
          <w:highlight w:val="none"/>
        </w:rPr>
        <w:t>教学、改革意识强、结构合理、教学质量高的优秀教学团队。教学团队要有先进的教学理念和明确的教学改革目标，切实可行的实施方案，健全的团队运行机制和激励机制，特别要有健全的中青年教师培训机制。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2．课程与教学资源建设。</w:t>
      </w:r>
      <w:r>
        <w:rPr>
          <w:rFonts w:hint="eastAsia" w:ascii="仿宋" w:hAnsi="仿宋" w:eastAsia="仿宋"/>
          <w:color w:val="000000"/>
          <w:sz w:val="32"/>
          <w:szCs w:val="32"/>
          <w:highlight w:val="none"/>
        </w:rPr>
        <w:t>要瞄准专业发展前沿，面向经济社会发展需求，借鉴国内外课程改革成果，充分利用现代信息技术，更新完善教学内容，优化课程设置，形成具有鲜明特色的专业核心课程群。要加强协同开发，促进开放共享，形成与人才培养目标、人才培养方案和创新人才培养模式相适应的优质教学资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3．教学方式方法改革。</w:t>
      </w:r>
      <w:r>
        <w:rPr>
          <w:rFonts w:hint="eastAsia" w:ascii="仿宋" w:hAnsi="仿宋" w:eastAsia="仿宋"/>
          <w:color w:val="000000"/>
          <w:sz w:val="32"/>
          <w:szCs w:val="32"/>
          <w:highlight w:val="none"/>
        </w:rPr>
        <w:t>深化教学研究、更新教学观念，注重因材施教、改进教学方式，依托信息技术、完善教学手段，产生一批具有鲜明专业特色的教学改革成果。积极探索启发式、探究式、讨论式、参与式教学，充分调动学生学习积极性，激励学生自主学习。促进科研与教学互动，及时把科研成果转化为教学内容。支持</w:t>
      </w:r>
      <w:r>
        <w:rPr>
          <w:rFonts w:hint="eastAsia" w:ascii="仿宋" w:hAnsi="仿宋" w:eastAsia="仿宋"/>
          <w:strike w:val="0"/>
          <w:dstrike w:val="0"/>
          <w:color w:val="000000"/>
          <w:sz w:val="32"/>
          <w:szCs w:val="32"/>
          <w:highlight w:val="none"/>
          <w:lang w:eastAsia="zh-CN"/>
        </w:rPr>
        <w:t>学生</w:t>
      </w:r>
      <w:r>
        <w:rPr>
          <w:rFonts w:hint="eastAsia" w:ascii="仿宋" w:hAnsi="仿宋" w:eastAsia="仿宋"/>
          <w:color w:val="000000"/>
          <w:sz w:val="32"/>
          <w:szCs w:val="32"/>
          <w:highlight w:val="none"/>
        </w:rPr>
        <w:t>参与科研活动，早进课题、早进实验室、早进团队。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4．强化实践教学环节。</w:t>
      </w:r>
      <w:r>
        <w:rPr>
          <w:rFonts w:hint="eastAsia" w:ascii="仿宋" w:hAnsi="仿宋" w:eastAsia="仿宋"/>
          <w:color w:val="000000"/>
          <w:sz w:val="32"/>
          <w:szCs w:val="32"/>
          <w:highlight w:val="none"/>
        </w:rPr>
        <w:t>结合专业特点和人才培养要求，增加实践教学比重，确保专业实践教学必要的学分（学时）。改革实践教学内容，改善实践教学条件，创新实践教学模式，增加综合性、设计性实验，倡导自选性、协作性实验。配齐配强实验室人员，鼓励高水平教师承担实践教学。加强实验室、实习实训基地和实践教学共享平台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 xml:space="preserve">   </w:t>
      </w:r>
      <w:r>
        <w:rPr>
          <w:rFonts w:hint="eastAsia" w:ascii="仿宋" w:hAnsi="仿宋" w:eastAsia="仿宋"/>
          <w:b/>
          <w:bCs/>
          <w:color w:val="000000"/>
          <w:sz w:val="32"/>
          <w:szCs w:val="32"/>
          <w:highlight w:val="none"/>
        </w:rPr>
        <w:t xml:space="preserve"> 5．教学管理改革。</w:t>
      </w:r>
      <w:r>
        <w:rPr>
          <w:rFonts w:hint="eastAsia" w:ascii="仿宋" w:hAnsi="仿宋" w:eastAsia="仿宋"/>
          <w:color w:val="000000"/>
          <w:sz w:val="32"/>
          <w:szCs w:val="32"/>
          <w:highlight w:val="none"/>
        </w:rPr>
        <w:t>更新教学管理理念，加强教学过程管理，形成有利于支撑综合改革试点专业建设，有利于教学团队静心教书、潜心育人，有利于学生全面发展和个性发展相辅相成的管理制度和评价办法。建立健全严格的教学管理制度，鼓励在专业建设的重要领域进行探索实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highlight w:val="none"/>
        </w:rPr>
      </w:pPr>
      <w:r>
        <w:rPr>
          <w:rFonts w:hint="eastAsia" w:ascii="仿宋" w:hAnsi="仿宋" w:eastAsia="仿宋"/>
          <w:color w:val="000000"/>
          <w:sz w:val="32"/>
          <w:szCs w:val="32"/>
          <w:highlight w:val="none"/>
        </w:rPr>
        <w:t xml:space="preserve">   </w:t>
      </w:r>
      <w:r>
        <w:rPr>
          <w:rFonts w:hint="eastAsia" w:ascii="黑体" w:hAnsi="黑体" w:eastAsia="黑体" w:cs="黑体"/>
          <w:color w:val="000000"/>
          <w:sz w:val="32"/>
          <w:szCs w:val="32"/>
          <w:highlight w:val="none"/>
        </w:rPr>
        <w:t xml:space="preserve"> 四、专业建设管理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（一）专业建设由学校进行宏观指导、规划和统筹，以</w:t>
      </w:r>
      <w:r>
        <w:rPr>
          <w:rFonts w:hint="eastAsia" w:ascii="仿宋" w:hAnsi="仿宋" w:eastAsia="仿宋"/>
          <w:color w:val="000000"/>
          <w:sz w:val="32"/>
          <w:szCs w:val="32"/>
          <w:highlight w:val="none"/>
          <w:lang w:eastAsia="zh-CN"/>
        </w:rPr>
        <w:t>二级</w:t>
      </w:r>
      <w:r>
        <w:rPr>
          <w:rFonts w:hint="eastAsia" w:ascii="仿宋" w:hAnsi="仿宋" w:eastAsia="仿宋"/>
          <w:color w:val="000000"/>
          <w:sz w:val="32"/>
          <w:szCs w:val="32"/>
          <w:highlight w:val="none"/>
          <w:lang w:val="en-US" w:eastAsia="zh-CN"/>
        </w:rPr>
        <w:t>学</w:t>
      </w:r>
      <w:r>
        <w:rPr>
          <w:rFonts w:hint="eastAsia" w:ascii="仿宋" w:hAnsi="仿宋" w:eastAsia="仿宋"/>
          <w:color w:val="000000"/>
          <w:sz w:val="32"/>
          <w:szCs w:val="32"/>
          <w:highlight w:val="none"/>
          <w:lang w:eastAsia="zh-CN"/>
        </w:rPr>
        <w:t>院</w:t>
      </w:r>
      <w:r>
        <w:rPr>
          <w:rFonts w:hint="eastAsia" w:ascii="仿宋" w:hAnsi="仿宋" w:eastAsia="仿宋"/>
          <w:color w:val="000000"/>
          <w:sz w:val="32"/>
          <w:szCs w:val="32"/>
          <w:highlight w:val="none"/>
        </w:rPr>
        <w:t>为主，实行</w:t>
      </w:r>
      <w:r>
        <w:rPr>
          <w:rFonts w:hint="eastAsia" w:ascii="仿宋" w:hAnsi="仿宋" w:eastAsia="仿宋"/>
          <w:color w:val="000000"/>
          <w:sz w:val="32"/>
          <w:szCs w:val="32"/>
          <w:highlight w:val="none"/>
          <w:lang w:eastAsia="zh-CN"/>
        </w:rPr>
        <w:t>二级学院负责人</w:t>
      </w:r>
      <w:r>
        <w:rPr>
          <w:rFonts w:hint="eastAsia" w:ascii="仿宋" w:hAnsi="仿宋" w:eastAsia="仿宋"/>
          <w:color w:val="000000"/>
          <w:sz w:val="32"/>
          <w:szCs w:val="32"/>
          <w:highlight w:val="none"/>
        </w:rPr>
        <w:t>协调下的专业建设负责人制。</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（二）专业建设负责人应具有教授专业技术职务，在相关学科领域及行业具有较高的学术水平和教学水平，由</w:t>
      </w:r>
      <w:r>
        <w:rPr>
          <w:rFonts w:hint="eastAsia" w:ascii="仿宋" w:hAnsi="仿宋" w:eastAsia="仿宋"/>
          <w:color w:val="000000"/>
          <w:sz w:val="32"/>
          <w:szCs w:val="32"/>
          <w:highlight w:val="none"/>
          <w:lang w:eastAsia="zh-CN"/>
        </w:rPr>
        <w:t>二级学院</w:t>
      </w:r>
      <w:r>
        <w:rPr>
          <w:rFonts w:hint="eastAsia" w:ascii="仿宋" w:hAnsi="仿宋" w:eastAsia="仿宋"/>
          <w:color w:val="000000"/>
          <w:sz w:val="32"/>
          <w:szCs w:val="32"/>
          <w:highlight w:val="none"/>
        </w:rPr>
        <w:t>负责遴选和管理。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（三）专业建设负责人的职责是负责专业建设的申报、建设方案的制定、建设任务的分解与落实、经费预算、经费支出审批、专业评估及日常管理等。</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四）学校对优势特色专业（根据不同时期不同建设侧重点，包括优质专业、特色专业、优势特色专业、创新创业教育示范专业、品牌专业等）给予重点扶持和动态管理，加强与重点学科相匹配的特色与优势专业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000000"/>
          <w:sz w:val="32"/>
          <w:szCs w:val="32"/>
          <w:highlight w:val="none"/>
        </w:rPr>
      </w:pPr>
      <w:r>
        <w:rPr>
          <w:rFonts w:hint="eastAsia" w:ascii="黑体" w:hAnsi="黑体" w:eastAsia="黑体" w:cs="黑体"/>
          <w:color w:val="000000"/>
          <w:sz w:val="32"/>
          <w:szCs w:val="32"/>
          <w:highlight w:val="none"/>
          <w:lang w:val="en-US" w:eastAsia="zh-CN"/>
        </w:rPr>
        <w:t>五</w:t>
      </w:r>
      <w:r>
        <w:rPr>
          <w:rFonts w:hint="eastAsia" w:ascii="黑体" w:hAnsi="黑体" w:eastAsia="黑体" w:cs="黑体"/>
          <w:color w:val="000000"/>
          <w:sz w:val="32"/>
          <w:szCs w:val="32"/>
          <w:highlight w:val="none"/>
        </w:rPr>
        <w:t xml:space="preserve">、专业检查与评估   </w:t>
      </w:r>
      <w:r>
        <w:rPr>
          <w:rFonts w:hint="eastAsia" w:ascii="仿宋" w:hAnsi="仿宋" w:eastAsia="仿宋"/>
          <w:color w:val="000000"/>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（一）学校对专业检查实行分类指导，定期开展专业评估。对新专业、优势特色专业分别按照相应的指标进行检查评估。</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二）检查评估的结果可以作为专业发展的参考依据，对于人才需求量大、办学条件好、就业形势好、建设成效显著的专业加大软硬件条件的扶持力度，并适度扩大招生规模；对于疏于建设和管理、社会需求量小、就业情况不好、建设成效不佳的专业，将视情况予以通报、适当压缩招生规模、及时进行整顿、改进和建设，实行隔年招生；对于办学条件差、学生就业困难的专业，经学校教学工作委员会研究论证，可采取合并、调整等方式进行改造或停止招生。</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（三）专业建设负责人应每学年对专业建设工作进行总结，各</w:t>
      </w:r>
      <w:r>
        <w:rPr>
          <w:rFonts w:hint="eastAsia" w:ascii="仿宋" w:hAnsi="仿宋" w:eastAsia="仿宋"/>
          <w:color w:val="000000"/>
          <w:sz w:val="32"/>
          <w:szCs w:val="32"/>
          <w:highlight w:val="none"/>
          <w:lang w:eastAsia="zh-CN"/>
        </w:rPr>
        <w:t>二级学院</w:t>
      </w:r>
      <w:r>
        <w:rPr>
          <w:rFonts w:hint="eastAsia" w:ascii="仿宋" w:hAnsi="仿宋" w:eastAsia="仿宋"/>
          <w:color w:val="000000"/>
          <w:sz w:val="32"/>
          <w:szCs w:val="32"/>
          <w:highlight w:val="none"/>
        </w:rPr>
        <w:t>对专业建设情况进行考核检查。省级和国家级优势特色类专业按相关文件进行检查。</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（四）专业建设工作绩效作为</w:t>
      </w:r>
      <w:r>
        <w:rPr>
          <w:rFonts w:hint="eastAsia" w:ascii="仿宋" w:hAnsi="仿宋" w:eastAsia="仿宋"/>
          <w:color w:val="000000"/>
          <w:sz w:val="32"/>
          <w:szCs w:val="32"/>
          <w:highlight w:val="none"/>
          <w:lang w:eastAsia="zh-CN"/>
        </w:rPr>
        <w:t>各二级学院</w:t>
      </w:r>
      <w:r>
        <w:rPr>
          <w:rFonts w:hint="eastAsia" w:ascii="仿宋" w:hAnsi="仿宋" w:eastAsia="仿宋"/>
          <w:color w:val="000000"/>
          <w:sz w:val="32"/>
          <w:szCs w:val="32"/>
          <w:highlight w:val="none"/>
        </w:rPr>
        <w:t>教学工作考核的重要方面。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lang w:val="en-US" w:eastAsia="zh-CN"/>
        </w:rPr>
        <w:t>六</w:t>
      </w:r>
      <w:r>
        <w:rPr>
          <w:rFonts w:hint="eastAsia" w:ascii="黑体" w:hAnsi="黑体" w:eastAsia="黑体" w:cs="黑体"/>
          <w:color w:val="000000"/>
          <w:sz w:val="32"/>
          <w:szCs w:val="32"/>
          <w:highlight w:val="none"/>
        </w:rPr>
        <w:t>、其他</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（一）本办法自公布之日起实行。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rPr>
        <w:t>（二）本办法由教务处负责解释。</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sz w:val="30"/>
          <w:szCs w:val="30"/>
          <w:highlight w:val="none"/>
        </w:rPr>
      </w:pPr>
    </w:p>
    <w:p>
      <w:pPr>
        <w:rPr>
          <w:rFonts w:hint="eastAsia"/>
          <w:color w:val="000000"/>
          <w:sz w:val="28"/>
          <w:szCs w:val="28"/>
          <w:highlight w:val="none"/>
        </w:rPr>
      </w:pPr>
    </w:p>
    <w:p>
      <w:pPr>
        <w:spacing w:line="640" w:lineRule="exact"/>
        <w:rPr>
          <w:rFonts w:ascii="仿宋" w:hAnsi="仿宋" w:eastAsia="仿宋" w:cs="仿宋"/>
          <w:color w:val="FF0000"/>
          <w:sz w:val="32"/>
          <w:szCs w:val="32"/>
          <w:shd w:val="clear" w:color="auto" w:fill="FFFFFF"/>
        </w:rPr>
      </w:pPr>
    </w:p>
    <w:p>
      <w:pPr>
        <w:spacing w:line="640" w:lineRule="exact"/>
        <w:ind w:firstLine="5250" w:firstLineChars="1750"/>
        <w:rPr>
          <w:rFonts w:ascii="微软雅黑" w:eastAsia="微软雅黑"/>
          <w:color w:val="FF0000"/>
          <w:sz w:val="30"/>
          <w:szCs w:val="30"/>
          <w:shd w:val="clear" w:color="auto" w:fill="FFFFFF"/>
        </w:rPr>
      </w:pPr>
    </w:p>
    <w:p>
      <w:pPr>
        <w:spacing w:line="520" w:lineRule="exact"/>
        <w:rPr>
          <w:rFonts w:ascii="仿宋" w:hAnsi="仿宋" w:eastAsia="仿宋" w:cs="仿宋"/>
          <w:sz w:val="32"/>
          <w:szCs w:val="32"/>
        </w:rPr>
      </w:pPr>
    </w:p>
    <w:p>
      <w:pPr>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default" w:ascii="仿宋" w:hAnsi="仿宋" w:eastAsia="仿宋" w:cs="仿宋"/>
          <w:b w:val="0"/>
          <w:bCs w:val="0"/>
          <w:sz w:val="32"/>
          <w:szCs w:val="32"/>
          <w:lang w:val="en-US" w:eastAsia="zh-CN"/>
        </w:rPr>
      </w:pPr>
    </w:p>
    <w:p>
      <w:pPr>
        <w:pStyle w:val="2"/>
        <w:rPr>
          <w:rFonts w:hint="default" w:ascii="仿宋" w:hAnsi="仿宋" w:eastAsia="仿宋" w:cs="仿宋"/>
          <w:b w:val="0"/>
          <w:bCs w:val="0"/>
          <w:sz w:val="32"/>
          <w:szCs w:val="32"/>
          <w:lang w:val="en-US" w:eastAsia="zh-CN"/>
        </w:rPr>
      </w:pPr>
    </w:p>
    <w:p>
      <w:pPr>
        <w:rPr>
          <w:rFonts w:hint="default" w:ascii="仿宋" w:hAnsi="仿宋" w:eastAsia="仿宋" w:cs="仿宋"/>
          <w:b w:val="0"/>
          <w:bCs w:val="0"/>
          <w:sz w:val="32"/>
          <w:szCs w:val="32"/>
          <w:lang w:val="en-US" w:eastAsia="zh-CN"/>
        </w:rPr>
      </w:pPr>
    </w:p>
    <w:p>
      <w:pPr>
        <w:pStyle w:val="2"/>
        <w:rPr>
          <w:rFonts w:hint="default" w:ascii="仿宋" w:hAnsi="仿宋" w:eastAsia="仿宋" w:cs="仿宋"/>
          <w:b w:val="0"/>
          <w:bCs w:val="0"/>
          <w:sz w:val="32"/>
          <w:szCs w:val="32"/>
          <w:lang w:val="en-US" w:eastAsia="zh-CN"/>
        </w:rPr>
      </w:pPr>
    </w:p>
    <w:p>
      <w:pPr>
        <w:rPr>
          <w:rFonts w:hint="default" w:ascii="仿宋" w:hAnsi="仿宋" w:eastAsia="仿宋" w:cs="仿宋"/>
          <w:b w:val="0"/>
          <w:bCs w:val="0"/>
          <w:sz w:val="32"/>
          <w:szCs w:val="32"/>
          <w:lang w:val="en-US" w:eastAsia="zh-CN"/>
        </w:rPr>
      </w:pPr>
    </w:p>
    <w:p>
      <w:pPr>
        <w:pStyle w:val="2"/>
        <w:rPr>
          <w:rFonts w:hint="default" w:ascii="仿宋" w:hAnsi="仿宋" w:eastAsia="仿宋" w:cs="仿宋"/>
          <w:b w:val="0"/>
          <w:bCs w:val="0"/>
          <w:sz w:val="32"/>
          <w:szCs w:val="32"/>
          <w:lang w:val="en-US" w:eastAsia="zh-CN"/>
        </w:rPr>
      </w:pPr>
    </w:p>
    <w:p>
      <w:pPr>
        <w:rPr>
          <w:rFonts w:hint="default" w:ascii="仿宋" w:hAnsi="仿宋" w:eastAsia="仿宋" w:cs="仿宋"/>
          <w:b w:val="0"/>
          <w:bCs w:val="0"/>
          <w:sz w:val="32"/>
          <w:szCs w:val="32"/>
          <w:lang w:val="en-US" w:eastAsia="zh-CN"/>
        </w:rPr>
      </w:pPr>
    </w:p>
    <w:p>
      <w:pPr>
        <w:pStyle w:val="2"/>
        <w:rPr>
          <w:rFonts w:hint="default" w:ascii="仿宋" w:hAnsi="仿宋" w:eastAsia="仿宋" w:cs="仿宋"/>
          <w:b w:val="0"/>
          <w:bCs w:val="0"/>
          <w:sz w:val="32"/>
          <w:szCs w:val="32"/>
          <w:lang w:val="en-US" w:eastAsia="zh-CN"/>
        </w:rPr>
      </w:pPr>
    </w:p>
    <w:p>
      <w:pPr>
        <w:rPr>
          <w:rFonts w:hint="default" w:ascii="仿宋" w:hAnsi="仿宋" w:eastAsia="仿宋" w:cs="仿宋"/>
          <w:b w:val="0"/>
          <w:bCs w:val="0"/>
          <w:sz w:val="32"/>
          <w:szCs w:val="32"/>
          <w:lang w:val="en-US" w:eastAsia="zh-CN"/>
        </w:rPr>
      </w:pPr>
    </w:p>
    <w:p>
      <w:pPr>
        <w:pStyle w:val="2"/>
        <w:rPr>
          <w:rFonts w:hint="default" w:ascii="仿宋" w:hAnsi="仿宋" w:eastAsia="仿宋" w:cs="仿宋"/>
          <w:b w:val="0"/>
          <w:bCs w:val="0"/>
          <w:sz w:val="32"/>
          <w:szCs w:val="32"/>
          <w:lang w:val="en-US" w:eastAsia="zh-CN"/>
        </w:rPr>
      </w:pPr>
    </w:p>
    <w:p>
      <w:pPr>
        <w:pStyle w:val="2"/>
        <w:rPr>
          <w:rFonts w:hint="default"/>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tbl>
      <w:tblPr>
        <w:tblStyle w:val="7"/>
        <w:tblpPr w:leftFromText="180" w:rightFromText="180" w:vertAnchor="text" w:horzAnchor="page" w:tblpXSpec="center" w:tblpY="1051"/>
        <w:tblOverlap w:val="never"/>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709"/>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90" w:hRule="exact"/>
          <w:jc w:val="center"/>
        </w:trPr>
        <w:tc>
          <w:tcPr>
            <w:tcW w:w="870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firstLine="280" w:firstLineChars="100"/>
              <w:jc w:val="both"/>
              <w:textAlignment w:val="auto"/>
              <w:rPr>
                <w:rFonts w:hint="default" w:ascii="仿宋_GB2312" w:hAnsi="仿宋_GB2312" w:eastAsia="仿宋_GB2312" w:cs="仿宋_GB2312"/>
                <w:b w:val="0"/>
                <w:bCs w:val="0"/>
                <w:color w:val="auto"/>
                <w:spacing w:val="0"/>
                <w:sz w:val="28"/>
                <w:szCs w:val="28"/>
                <w:vertAlign w:val="baseline"/>
                <w:lang w:val="en-US" w:eastAsia="zh-CN"/>
              </w:rPr>
            </w:pPr>
            <w:r>
              <w:rPr>
                <w:rFonts w:hint="eastAsia" w:ascii="仿宋_GB2312" w:hAnsi="仿宋_GB2312" w:eastAsia="仿宋_GB2312" w:cs="仿宋_GB2312"/>
                <w:b w:val="0"/>
                <w:bCs w:val="0"/>
                <w:color w:val="auto"/>
                <w:spacing w:val="0"/>
                <w:sz w:val="28"/>
                <w:szCs w:val="28"/>
                <w:vertAlign w:val="baseline"/>
                <w:lang w:val="en-US" w:eastAsia="zh-CN"/>
              </w:rPr>
              <w:t>抄报：校董事会、党政领导。</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90" w:hRule="exact"/>
          <w:jc w:val="center"/>
        </w:trPr>
        <w:tc>
          <w:tcPr>
            <w:tcW w:w="870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ind w:right="0" w:rightChars="0" w:firstLine="280" w:firstLineChars="100"/>
              <w:jc w:val="both"/>
              <w:textAlignment w:val="auto"/>
              <w:rPr>
                <w:rFonts w:hint="eastAsia" w:ascii="仿宋_GB2312" w:hAnsi="仿宋_GB2312" w:eastAsia="仿宋_GB2312" w:cs="仿宋_GB2312"/>
                <w:b w:val="0"/>
                <w:bCs w:val="0"/>
                <w:color w:val="auto"/>
                <w:spacing w:val="0"/>
                <w:sz w:val="28"/>
                <w:szCs w:val="28"/>
                <w:vertAlign w:val="baseline"/>
                <w:lang w:val="en-US" w:eastAsia="zh-CN"/>
              </w:rPr>
            </w:pPr>
            <w:r>
              <w:rPr>
                <w:rFonts w:hint="eastAsia" w:ascii="仿宋_GB2312" w:hAnsi="仿宋_GB2312" w:eastAsia="仿宋_GB2312" w:cs="仿宋_GB2312"/>
                <w:b w:val="0"/>
                <w:bCs w:val="0"/>
                <w:color w:val="auto"/>
                <w:spacing w:val="0"/>
                <w:sz w:val="28"/>
                <w:szCs w:val="28"/>
                <w:vertAlign w:val="baseline"/>
                <w:lang w:val="en-US" w:eastAsia="zh-CN"/>
              </w:rPr>
              <w:t xml:space="preserve">合肥城市学院办公室                    </w:t>
            </w:r>
            <w:r>
              <w:rPr>
                <w:rFonts w:hint="eastAsia" w:ascii="仿宋_GB2312" w:hAnsi="仿宋_GB2312" w:eastAsia="仿宋_GB2312" w:cs="仿宋_GB2312"/>
                <w:b w:val="0"/>
                <w:bCs w:val="0"/>
                <w:color w:val="auto"/>
                <w:spacing w:val="0"/>
                <w:sz w:val="28"/>
                <w:szCs w:val="28"/>
                <w:lang w:val="en-US" w:eastAsia="zh-CN"/>
              </w:rPr>
              <w:t>2022年11月5日印发</w:t>
            </w:r>
          </w:p>
        </w:tc>
      </w:tr>
    </w:tbl>
    <w:p>
      <w:pPr>
        <w:keepNext w:val="0"/>
        <w:keepLines w:val="0"/>
        <w:pageBreakBefore w:val="0"/>
        <w:widowControl w:val="0"/>
        <w:kinsoku/>
        <w:wordWrap/>
        <w:overflowPunct/>
        <w:topLinePunct w:val="0"/>
        <w:autoSpaceDE/>
        <w:autoSpaceDN/>
        <w:bidi w:val="0"/>
        <w:adjustRightInd/>
        <w:snapToGrid/>
        <w:spacing w:line="100" w:lineRule="exact"/>
        <w:ind w:right="0" w:rightChars="0"/>
        <w:jc w:val="both"/>
        <w:textAlignment w:val="auto"/>
        <w:outlineLvl w:val="9"/>
        <w:rPr>
          <w:rFonts w:hint="default" w:ascii="仿宋" w:hAnsi="仿宋" w:eastAsia="仿宋" w:cs="仿宋"/>
          <w:b w:val="0"/>
          <w:bCs w:val="0"/>
          <w:sz w:val="32"/>
          <w:szCs w:val="32"/>
          <w:lang w:val="en-US" w:eastAsia="zh-CN"/>
        </w:rPr>
      </w:pPr>
    </w:p>
    <w:sectPr>
      <w:footerReference r:id="rId3" w:type="default"/>
      <w:footerReference r:id="rId4" w:type="even"/>
      <w:pgSz w:w="11906" w:h="16838"/>
      <w:pgMar w:top="1984" w:right="1587" w:bottom="1928" w:left="1587" w:header="851" w:footer="1559"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altName w:val="Palatino Linotype"/>
    <w:panose1 w:val="02040503050406030204"/>
    <w:charset w:val="00"/>
    <w:family w:val="roman"/>
    <w:pitch w:val="default"/>
    <w:sig w:usb0="00000000" w:usb1="00000000" w:usb2="02000000" w:usb3="00000000" w:csb0="2000019F" w:csb1="00000000"/>
  </w:font>
  <w:font w:name="Palatino Linotype">
    <w:panose1 w:val="02040502050505030304"/>
    <w:charset w:val="00"/>
    <w:family w:val="auto"/>
    <w:pitch w:val="default"/>
    <w:sig w:usb0="E0000287" w:usb1="40000013" w:usb2="00000000" w:usb3="00000000" w:csb0="2000019F" w:csb1="00000000"/>
  </w:font>
  <w:font w:name="Adobe 黑体 Std R">
    <w:altName w:val="黑体"/>
    <w:panose1 w:val="00000000000000000000"/>
    <w:charset w:val="86"/>
    <w:family w:val="swiss"/>
    <w:pitch w:val="default"/>
    <w:sig w:usb0="00000000" w:usb1="00000000" w:usb2="00000010" w:usb3="00000000" w:csb0="00060007"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4987925</wp:posOffset>
              </wp:positionH>
              <wp:positionV relativeFrom="paragraph">
                <wp:posOffset>50800</wp:posOffset>
              </wp:positionV>
              <wp:extent cx="1828800" cy="1828800"/>
              <wp:effectExtent l="0" t="0" r="0" b="0"/>
              <wp:wrapNone/>
              <wp:docPr id="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13" o:spid="_x0000_s1026" o:spt="202" type="#_x0000_t202" style="position:absolute;left:0pt;margin-left:392.75pt;margin-top:4pt;height:144pt;width:144pt;mso-position-horizontal-relative:margin;mso-wrap-style:none;z-index:251659264;mso-width-relative:page;mso-height-relative:page;" filled="f" stroked="f" coordsize="21600,21600" o:gfxdata="UEsDBAoAAAAAAIdO4kAAAAAAAAAAAAAAAAAEAAAAZHJzL1BLAwQUAAAACACHTuJA4qwk8tYAAAAK&#10;AQAADwAAAGRycy9kb3ducmV2LnhtbE2PwU7DMBBE70j8g7VI3KjdorYhxOmhEhduFFSJmxtv4wh7&#10;HcVumvw92xMcd2b0dqbaTcGLEYfURdKwXCgQSE20HbUavj7fngoQKRuyxkdCDTMm2NX3d5UpbbzS&#10;B46H3AqGUCqNBpdzX0qZGofBpEXskdg7xyGYzOfQSjuYK8ODlyulNjKYjviDMz3uHTY/h0vQsJ2O&#10;EfuEe/w+j83gurnw77PWjw9L9Qoi45T/wnCrz9Wh5k6neCGbhGdGsV5zVEPBk26+2j6zcNKwetko&#10;kHUl/0+ofwFQSwMEFAAAAAgAh07iQObIBaXfAQAAvwMAAA4AAABkcnMvZTJvRG9jLnhtbK1TwY7T&#10;MBC9I/EPlu80aVdCVdV0tVAtQkKAtOwHuI7TWLI91thtUj4A/oATF+58V7+DsZN0YbnsYS/JeGb8&#10;Zt6b8fq6t4YdFQYNruLzWcmZchJq7fYVv/9y+2rJWYjC1cKAUxU/qcCvNy9frDu/UgtowdQKGYG4&#10;sOp8xdsY/aoogmyVFWEGXjkKNoBWRDrivqhRdIRuTbEoy9dFB1h7BKlCIO92CPIREZ8CCE2jpdqC&#10;PFjl4oCKyohIlEKrfeCb3G3TKBk/NU1QkZmKE9OYv1SE7F36Fpu1WO1R+FbLsQXxlBYecbJCOyp6&#10;gdqKKNgB9X9QVkuEAE2cSbDFQCQrQizm5SNt7lrhVeZCUgd/ET08H6z8ePyMTNcVv+LMCUsDP//4&#10;fv75+/zrG5tfJX06H1aUducpMfZvoKetmfyBnIl236BNfyLEKE7qni7qqj4ymS4tF8tlSSFJselA&#10;+MXDdY8hvlNgWTIqjjS+rKo4fghxSJ1SUjUHt9qYPELj/nEQZvIUqfehx2TFftePhHZQn4gPvQOq&#10;0wJ+5ayjLai4o6XnzLx3JHJamMnAydhNhnCSLlY8cjaYb+OwWAePet/mVUtNBX9ziNRpJpDaGGqP&#10;3dFcswTjDqbF+fucsx7e3e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4qwk8tYAAAAKAQAADwAA&#10;AAAAAAABACAAAAAiAAAAZHJzL2Rvd25yZXYueG1sUEsBAhQAFAAAAAgAh07iQObIBaXfAQAAvwMA&#10;AA4AAAAAAAAAAQAgAAAAJQEAAGRycy9lMm9Eb2MueG1sUEsFBgAAAAAGAAYAWQEAAHYFAAAAAA==&#10;">
              <v:fill on="f" focussize="0,0"/>
              <v:stroke on="f"/>
              <v:imagedata o:title=""/>
              <o:lock v:ext="edit" aspectratio="f"/>
              <v:textbox inset="0mm,0mm,0mm,0mm" style="mso-fit-shape-to-text:t;">
                <w:txbxContent>
                  <w:p>
                    <w:pPr>
                      <w:pStyle w:val="4"/>
                      <w:rPr>
                        <w:rFonts w:hint="eastAsia" w:eastAsia="宋体"/>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-3810</wp:posOffset>
              </wp:positionH>
              <wp:positionV relativeFrom="paragraph">
                <wp:posOffset>0</wp:posOffset>
              </wp:positionV>
              <wp:extent cx="1828800" cy="1828800"/>
              <wp:effectExtent l="0" t="0" r="0" b="0"/>
              <wp:wrapNone/>
              <wp:docPr id="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2</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14" o:spid="_x0000_s1026" o:spt="202" type="#_x0000_t202" style="position:absolute;left:0pt;margin-left:-0.3pt;margin-top:0pt;height:144pt;width:144pt;mso-position-horizontal-relative:margin;mso-wrap-style:none;z-index:251660288;mso-width-relative:page;mso-height-relative:page;" filled="f" stroked="f" coordsize="21600,21600" o:gfxdata="UEsDBAoAAAAAAIdO4kAAAAAAAAAAAAAAAAAEAAAAZHJzL1BLAwQUAAAACACHTuJAa7yjctMAAAAG&#10;AQAADwAAAGRycy9kb3ducmV2LnhtbE2PwWrDMBBE74X+g9hAb4mcUBLjWM4h0EtvTUuhN8XaWCbS&#10;ykiKY/99N6f2NssMM2/rw+SdGDGmPpCC9aoAgdQG01On4OvzbVmCSFmT0S4QKpgxwaF5fqp1ZcKd&#10;PnA85U5wCaVKK7A5D5WUqbXodVqFAYm9S4heZz5jJ03Udy73Tm6KYiu97okXrB7waLG9nm5ewW76&#10;DjgkPOLPZWyj7efSvc9KvSzWxR5Exin/heGBz+jQMNM53Mgk4RQstxxUwP+wuSl3ryDOD1EWIJta&#10;/sdvfgFQSwMEFAAAAAgAh07iQDNUAkDfAQAAvwMAAA4AAABkcnMvZTJvRG9jLnhtbK1TwY7TMBC9&#10;I/EPlu80abVCVdV0tVAtQkKAtOwHuI7TWLI91thtUj4A/oATF+58V7+DsZN0YbnsYS/JeGb8Zt6b&#10;8fq6t4YdFQYNruLzWcmZchJq7fYVv/9y+2rJWYjC1cKAUxU/qcCvNy9frDu/UgtowdQKGYG4sOp8&#10;xdsY/aoogmyVFWEGXjkKNoBWRDrivqhRdIRuTbEoy9dFB1h7BKlCIO92CPIREZ8CCE2jpdqCPFjl&#10;4oCKyohIlEKrfeCb3G3TKBk/NU1QkZmKE9OYv1SE7F36Fpu1WO1R+FbLsQXxlBYecbJCOyp6gdqK&#10;KNgB9X9QVkuEAE2cSbDFQCQrQizm5SNt7lrhVeZCUgd/ET08H6z8ePyMTNcVv+LMCUsDP//4fv75&#10;+/zrG5tfJX06H1aUducpMfZvoKetmfyBnIl236BNfyLEKE7qni7qqj4ymS4tF8tlSSFJselA+MXD&#10;dY8hvlNgWTIqjjS+rKo4fghxSJ1SUjUHt9qYPELj/nEQZvIUqfehx2TFftePhHZQn4gPvQOq0wJ+&#10;5ayjLai4o6XnzLx3JHJamMnAydhNhnCSLlY8cjaYb+OwWAePet/mVUtNBX9ziNRpJpDaGGqP3dFc&#10;swTjDqbF+fucsx7e3e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7yjctMAAAAGAQAADwAAAAAA&#10;AAABACAAAAAiAAAAZHJzL2Rvd25yZXYueG1sUEsBAhQAFAAAAAgAh07iQDNUAkDfAQAAvwMAAA4A&#10;AAAAAAAAAQAgAAAAIgEAAGRycy9lMm9Eb2MueG1sUEsFBgAAAAAGAAYAWQEAAHM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2</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evenAndOddHeaders w:val="1"/>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ZjBjNTE5ODZiYWNjOWQwMTcxNTBjNmQ2YzU3YjIifQ=="/>
  </w:docVars>
  <w:rsids>
    <w:rsidRoot w:val="00000000"/>
    <w:rsid w:val="01780A56"/>
    <w:rsid w:val="01BD06D2"/>
    <w:rsid w:val="01F848E6"/>
    <w:rsid w:val="02252077"/>
    <w:rsid w:val="0361667C"/>
    <w:rsid w:val="03C434BA"/>
    <w:rsid w:val="0A9A561C"/>
    <w:rsid w:val="0B2B2D99"/>
    <w:rsid w:val="0BD33FB3"/>
    <w:rsid w:val="0CBD14CF"/>
    <w:rsid w:val="0D525967"/>
    <w:rsid w:val="0DFB44F5"/>
    <w:rsid w:val="0E5A1AC5"/>
    <w:rsid w:val="0FBD610E"/>
    <w:rsid w:val="100C6C20"/>
    <w:rsid w:val="114F1210"/>
    <w:rsid w:val="1970517C"/>
    <w:rsid w:val="1ACF704F"/>
    <w:rsid w:val="1CBF0826"/>
    <w:rsid w:val="1E4D5F74"/>
    <w:rsid w:val="20A20446"/>
    <w:rsid w:val="238953AD"/>
    <w:rsid w:val="23A61C00"/>
    <w:rsid w:val="243A26A6"/>
    <w:rsid w:val="243C73D9"/>
    <w:rsid w:val="27B011AD"/>
    <w:rsid w:val="2A52398D"/>
    <w:rsid w:val="2A7E41CB"/>
    <w:rsid w:val="2B72732B"/>
    <w:rsid w:val="2D847318"/>
    <w:rsid w:val="2FAA5340"/>
    <w:rsid w:val="2FDE659E"/>
    <w:rsid w:val="30DA6D8B"/>
    <w:rsid w:val="321C0699"/>
    <w:rsid w:val="32C77BEE"/>
    <w:rsid w:val="32E4042B"/>
    <w:rsid w:val="35ED04F1"/>
    <w:rsid w:val="364605B0"/>
    <w:rsid w:val="37F038D0"/>
    <w:rsid w:val="38225C6F"/>
    <w:rsid w:val="3B1B5E2E"/>
    <w:rsid w:val="3B507E82"/>
    <w:rsid w:val="3BF31361"/>
    <w:rsid w:val="3DB5191E"/>
    <w:rsid w:val="3DD41E02"/>
    <w:rsid w:val="3F5E5646"/>
    <w:rsid w:val="401E2B5D"/>
    <w:rsid w:val="42967C11"/>
    <w:rsid w:val="42FE110A"/>
    <w:rsid w:val="45D77C9A"/>
    <w:rsid w:val="4715439F"/>
    <w:rsid w:val="4BE5677D"/>
    <w:rsid w:val="4D806987"/>
    <w:rsid w:val="505F1058"/>
    <w:rsid w:val="518808FD"/>
    <w:rsid w:val="52221C27"/>
    <w:rsid w:val="524F4BBA"/>
    <w:rsid w:val="531245CB"/>
    <w:rsid w:val="53BD2813"/>
    <w:rsid w:val="543E4854"/>
    <w:rsid w:val="55395A94"/>
    <w:rsid w:val="561E78CA"/>
    <w:rsid w:val="5C975ED8"/>
    <w:rsid w:val="5CED02DA"/>
    <w:rsid w:val="5DCD1013"/>
    <w:rsid w:val="5FC67344"/>
    <w:rsid w:val="61A51118"/>
    <w:rsid w:val="62665AD7"/>
    <w:rsid w:val="63173CBA"/>
    <w:rsid w:val="693D0769"/>
    <w:rsid w:val="6C1D3F43"/>
    <w:rsid w:val="6DEC2A36"/>
    <w:rsid w:val="711E47D4"/>
    <w:rsid w:val="714A5F46"/>
    <w:rsid w:val="76490202"/>
    <w:rsid w:val="7A4F302A"/>
    <w:rsid w:val="7CEF19E4"/>
    <w:rsid w:val="7DA227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150" w:beforeLines="150" w:beforeAutospacing="0" w:after="150" w:afterLines="150" w:afterAutospacing="0" w:line="360" w:lineRule="auto"/>
      <w:jc w:val="center"/>
      <w:outlineLvl w:val="0"/>
    </w:pPr>
    <w:rPr>
      <w:rFonts w:eastAsia="黑体"/>
      <w:kern w:val="44"/>
      <w:sz w:val="36"/>
    </w:rPr>
  </w:style>
  <w:style w:type="paragraph" w:styleId="2">
    <w:name w:val="heading 2"/>
    <w:basedOn w:val="1"/>
    <w:next w:val="1"/>
    <w:unhideWhenUsed/>
    <w:qFormat/>
    <w:uiPriority w:val="9"/>
    <w:pPr>
      <w:keepNext/>
      <w:keepLines/>
      <w:spacing w:line="560" w:lineRule="exact"/>
      <w:outlineLvl w:val="1"/>
    </w:pPr>
    <w:rPr>
      <w:rFonts w:ascii="Cambria" w:hAnsi="Cambria" w:eastAsia="Adobe 黑体 Std R"/>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default" w:ascii="Times New Roman" w:hAnsi="Times New Roman" w:cs="Times New Roman"/>
      <w:color w:val="000000"/>
      <w:sz w:val="24"/>
      <w:szCs w:val="24"/>
      <w:u w:val="none"/>
    </w:rPr>
  </w:style>
  <w:style w:type="character" w:customStyle="1" w:styleId="10">
    <w:name w:val="font1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3065</Words>
  <Characters>3083</Characters>
  <Lines>0</Lines>
  <Paragraphs>0</Paragraphs>
  <TotalTime>17</TotalTime>
  <ScaleCrop>false</ScaleCrop>
  <LinksUpToDate>false</LinksUpToDate>
  <CharactersWithSpaces>3273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2021-01-14T05:55:00Z</dcterms:created>
  <dc:creator>mayn</dc:creator>
  <cp:lastModifiedBy>李怡娇</cp:lastModifiedBy>
  <cp:lastPrinted>2021-06-01T06:05:00Z</cp:lastPrinted>
  <dcterms:modified xsi:type="dcterms:W3CDTF">2022-11-10T07:41:58Z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D67BDFC375914A7B8D4E887CB70CBA1C</vt:lpwstr>
  </property>
</Properties>
</file>